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8B99" w14:textId="77777777" w:rsidR="00C909BC" w:rsidRPr="00C909BC" w:rsidRDefault="00C909BC" w:rsidP="00C909BC">
      <w:pPr>
        <w:autoSpaceDE w:val="0"/>
        <w:autoSpaceDN w:val="0"/>
        <w:spacing w:line="240" w:lineRule="auto"/>
        <w:jc w:val="center"/>
        <w:rPr>
          <w:rFonts w:ascii="Arial" w:eastAsia="Times New Roman" w:hAnsi="Arial" w:cs="Arial"/>
          <w:b/>
          <w:sz w:val="20"/>
          <w:szCs w:val="20"/>
        </w:rPr>
      </w:pPr>
      <w:r w:rsidRPr="00C909BC">
        <w:rPr>
          <w:rFonts w:ascii="Arial" w:eastAsia="Times New Roman" w:hAnsi="Arial" w:cs="Arial"/>
          <w:b/>
          <w:sz w:val="20"/>
          <w:szCs w:val="20"/>
        </w:rPr>
        <w:t>INFORMACIJA INDĖLININKUI</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95"/>
        <w:gridCol w:w="5690"/>
      </w:tblGrid>
      <w:tr w:rsidR="00C909BC" w:rsidRPr="00C909BC" w14:paraId="31E4E1EB" w14:textId="77777777" w:rsidTr="00B81FAD">
        <w:trPr>
          <w:trHeight w:val="384"/>
        </w:trPr>
        <w:tc>
          <w:tcPr>
            <w:tcW w:w="5000" w:type="pct"/>
            <w:gridSpan w:val="2"/>
            <w:vAlign w:val="center"/>
          </w:tcPr>
          <w:p w14:paraId="64A53B68" w14:textId="77777777" w:rsidR="00C909BC" w:rsidRPr="00C909BC" w:rsidRDefault="00C909BC" w:rsidP="00C909BC">
            <w:pPr>
              <w:autoSpaceDE w:val="0"/>
              <w:autoSpaceDN w:val="0"/>
              <w:spacing w:after="0" w:line="240" w:lineRule="auto"/>
              <w:ind w:right="-1"/>
              <w:jc w:val="center"/>
              <w:rPr>
                <w:rFonts w:ascii="Arial" w:eastAsia="Times New Roman" w:hAnsi="Arial" w:cs="Arial"/>
                <w:b/>
                <w:sz w:val="20"/>
                <w:szCs w:val="20"/>
              </w:rPr>
            </w:pPr>
            <w:r w:rsidRPr="00C909BC">
              <w:rPr>
                <w:rFonts w:ascii="Arial" w:eastAsia="Times New Roman" w:hAnsi="Arial" w:cs="Arial"/>
                <w:b/>
                <w:sz w:val="20"/>
                <w:szCs w:val="20"/>
              </w:rPr>
              <w:t>Pagrindinė informacija apie indėlio apsaugą</w:t>
            </w:r>
          </w:p>
        </w:tc>
      </w:tr>
      <w:tr w:rsidR="00C909BC" w:rsidRPr="00C909BC" w14:paraId="1FBC95A1" w14:textId="77777777" w:rsidTr="00B81FAD">
        <w:tc>
          <w:tcPr>
            <w:tcW w:w="2122" w:type="pct"/>
          </w:tcPr>
          <w:p w14:paraId="34BBC5BF" w14:textId="672E23E6" w:rsidR="00C909BC" w:rsidRPr="00C909BC" w:rsidRDefault="004D1354" w:rsidP="00C909BC">
            <w:pPr>
              <w:autoSpaceDE w:val="0"/>
              <w:autoSpaceDN w:val="0"/>
              <w:spacing w:after="0" w:line="240" w:lineRule="auto"/>
              <w:ind w:right="-1"/>
              <w:rPr>
                <w:rFonts w:ascii="Arial" w:eastAsia="Times New Roman" w:hAnsi="Arial" w:cs="Arial"/>
                <w:bCs/>
                <w:sz w:val="20"/>
                <w:szCs w:val="20"/>
              </w:rPr>
            </w:pPr>
            <w:r>
              <w:rPr>
                <w:rFonts w:ascii="Arial" w:eastAsia="Times New Roman" w:hAnsi="Arial" w:cs="Arial"/>
                <w:sz w:val="20"/>
                <w:szCs w:val="20"/>
              </w:rPr>
              <w:t>Alytaus kredito unijoje</w:t>
            </w:r>
            <w:r w:rsidR="00C909BC">
              <w:rPr>
                <w:rFonts w:ascii="Arial" w:eastAsia="Times New Roman" w:hAnsi="Arial" w:cs="Arial"/>
                <w:sz w:val="20"/>
                <w:szCs w:val="20"/>
              </w:rPr>
              <w:t xml:space="preserve"> </w:t>
            </w:r>
            <w:r w:rsidR="00C909BC" w:rsidRPr="00C909BC">
              <w:rPr>
                <w:rFonts w:ascii="Arial" w:eastAsia="Times New Roman" w:hAnsi="Arial" w:cs="Arial"/>
                <w:sz w:val="20"/>
                <w:szCs w:val="20"/>
              </w:rPr>
              <w:t>laikomi indėliai yra draudžiami</w:t>
            </w:r>
          </w:p>
        </w:tc>
        <w:tc>
          <w:tcPr>
            <w:tcW w:w="2878" w:type="pct"/>
          </w:tcPr>
          <w:p w14:paraId="229DEDE8"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valstybės įmonėje „Indėlių ir investicijų draudimas“</w:t>
            </w:r>
          </w:p>
        </w:tc>
      </w:tr>
      <w:tr w:rsidR="00C909BC" w:rsidRPr="00C909BC" w14:paraId="0439FC93" w14:textId="77777777" w:rsidTr="00B81FAD">
        <w:tc>
          <w:tcPr>
            <w:tcW w:w="2122" w:type="pct"/>
          </w:tcPr>
          <w:p w14:paraId="20C50BBF"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Apsaugos riba</w:t>
            </w:r>
          </w:p>
        </w:tc>
        <w:tc>
          <w:tcPr>
            <w:tcW w:w="2878" w:type="pct"/>
          </w:tcPr>
          <w:p w14:paraId="4260521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iki 100 000 eurų vienam indėlininkui už visus vienoje kredito įstaigoje laikomus indėlius</w:t>
            </w:r>
            <w:r w:rsidRPr="00C909BC">
              <w:rPr>
                <w:rFonts w:ascii="Arial" w:eastAsia="Times New Roman" w:hAnsi="Arial" w:cs="Arial"/>
                <w:bCs/>
                <w:sz w:val="20"/>
                <w:szCs w:val="20"/>
                <w:vertAlign w:val="superscript"/>
              </w:rPr>
              <w:t>1</w:t>
            </w:r>
          </w:p>
        </w:tc>
      </w:tr>
      <w:tr w:rsidR="00C909BC" w:rsidRPr="00C909BC" w14:paraId="07E9953C" w14:textId="77777777" w:rsidTr="00B81FAD">
        <w:tc>
          <w:tcPr>
            <w:tcW w:w="2122" w:type="pct"/>
          </w:tcPr>
          <w:p w14:paraId="3F9B3A1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Jei turite daugiau indėlių toje pačioje kredito įstaigoje</w:t>
            </w:r>
          </w:p>
        </w:tc>
        <w:tc>
          <w:tcPr>
            <w:tcW w:w="2878" w:type="pct"/>
          </w:tcPr>
          <w:p w14:paraId="410F6D8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visi jūsų indėliai, laikomi toje pačioje kredito įstaigoje, susumuojami ir bendrai sumai taikoma 100 000 eurų apsaugos riba</w:t>
            </w:r>
            <w:r w:rsidRPr="00C909BC">
              <w:rPr>
                <w:rFonts w:ascii="Arial" w:eastAsia="Times New Roman" w:hAnsi="Arial" w:cs="Arial"/>
                <w:bCs/>
                <w:sz w:val="20"/>
                <w:szCs w:val="20"/>
                <w:vertAlign w:val="superscript"/>
              </w:rPr>
              <w:t>1</w:t>
            </w:r>
            <w:r w:rsidRPr="00C909BC">
              <w:rPr>
                <w:rFonts w:ascii="Arial" w:eastAsia="Times New Roman" w:hAnsi="Arial" w:cs="Arial"/>
                <w:color w:val="0000FF"/>
                <w:sz w:val="20"/>
                <w:szCs w:val="20"/>
                <w:u w:val="single"/>
                <w:vertAlign w:val="superscript"/>
              </w:rPr>
              <w:t xml:space="preserve"> </w:t>
            </w:r>
          </w:p>
        </w:tc>
      </w:tr>
      <w:tr w:rsidR="00C909BC" w:rsidRPr="00C909BC" w14:paraId="39C91E4E" w14:textId="77777777" w:rsidTr="00B81FAD">
        <w:tc>
          <w:tcPr>
            <w:tcW w:w="2122" w:type="pct"/>
          </w:tcPr>
          <w:p w14:paraId="270ED353"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Jei turite bendrą sąskaitą su kitu (kitais) asmeniu (asmenimis)</w:t>
            </w:r>
          </w:p>
        </w:tc>
        <w:tc>
          <w:tcPr>
            <w:tcW w:w="2878" w:type="pct"/>
          </w:tcPr>
          <w:p w14:paraId="7ECDD74A"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100 000 eurų riba atskirai taikoma kiekvienam indėlininkui</w:t>
            </w:r>
            <w:r w:rsidRPr="00C909BC">
              <w:rPr>
                <w:rFonts w:ascii="Arial" w:eastAsia="Times New Roman" w:hAnsi="Arial" w:cs="Arial"/>
                <w:sz w:val="20"/>
                <w:szCs w:val="20"/>
                <w:vertAlign w:val="superscript"/>
              </w:rPr>
              <w:t>2</w:t>
            </w:r>
          </w:p>
        </w:tc>
      </w:tr>
      <w:tr w:rsidR="00C909BC" w:rsidRPr="00C909BC" w14:paraId="4BF10330" w14:textId="77777777" w:rsidTr="00B81FAD">
        <w:tc>
          <w:tcPr>
            <w:tcW w:w="2122" w:type="pct"/>
          </w:tcPr>
          <w:p w14:paraId="739C69E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Indėlių draudimo išmokos išmokėjimo terminas, jeigu kredito įstaiga nevykdo įsipareigojimų</w:t>
            </w:r>
          </w:p>
        </w:tc>
        <w:tc>
          <w:tcPr>
            <w:tcW w:w="2878" w:type="pct"/>
          </w:tcPr>
          <w:p w14:paraId="5296CAE2"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Pr>
                <w:rFonts w:ascii="Arial" w:eastAsia="Times New Roman" w:hAnsi="Arial" w:cs="Arial"/>
                <w:bCs/>
                <w:sz w:val="20"/>
                <w:szCs w:val="20"/>
              </w:rPr>
              <w:t>1</w:t>
            </w:r>
            <w:r w:rsidRPr="00C909BC">
              <w:rPr>
                <w:rFonts w:ascii="Arial" w:eastAsia="Times New Roman" w:hAnsi="Arial" w:cs="Arial"/>
                <w:bCs/>
                <w:sz w:val="20"/>
                <w:szCs w:val="20"/>
              </w:rPr>
              <w:t>0 darbo dienų</w:t>
            </w:r>
            <w:r w:rsidRPr="00C909BC">
              <w:rPr>
                <w:rFonts w:ascii="Arial" w:eastAsia="Times New Roman" w:hAnsi="Arial" w:cs="Arial"/>
                <w:bCs/>
                <w:sz w:val="20"/>
                <w:szCs w:val="20"/>
                <w:vertAlign w:val="superscript"/>
              </w:rPr>
              <w:t>3</w:t>
            </w:r>
            <w:r w:rsidRPr="00C909BC">
              <w:rPr>
                <w:rFonts w:ascii="Arial" w:eastAsia="Times New Roman" w:hAnsi="Arial" w:cs="Arial"/>
                <w:bCs/>
                <w:sz w:val="20"/>
                <w:szCs w:val="20"/>
              </w:rPr>
              <w:t xml:space="preserve"> </w:t>
            </w:r>
          </w:p>
          <w:p w14:paraId="7DF21A89" w14:textId="77777777" w:rsidR="00C909BC" w:rsidRPr="00C909BC" w:rsidRDefault="00C909BC" w:rsidP="00C909BC">
            <w:pPr>
              <w:autoSpaceDE w:val="0"/>
              <w:autoSpaceDN w:val="0"/>
              <w:spacing w:after="0" w:line="240" w:lineRule="auto"/>
              <w:ind w:right="-1"/>
              <w:jc w:val="both"/>
              <w:rPr>
                <w:rFonts w:ascii="Arial" w:eastAsia="Times New Roman" w:hAnsi="Arial" w:cs="Arial"/>
                <w:bCs/>
                <w:i/>
                <w:sz w:val="20"/>
                <w:szCs w:val="20"/>
              </w:rPr>
            </w:pPr>
          </w:p>
        </w:tc>
      </w:tr>
      <w:tr w:rsidR="00C909BC" w:rsidRPr="00C909BC" w14:paraId="3B9F0256" w14:textId="77777777" w:rsidTr="00B81FAD">
        <w:tc>
          <w:tcPr>
            <w:tcW w:w="2122" w:type="pct"/>
          </w:tcPr>
          <w:p w14:paraId="7814275E"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Indėlių draudimo išmokos išmokėjimo valiuta</w:t>
            </w:r>
          </w:p>
        </w:tc>
        <w:tc>
          <w:tcPr>
            <w:tcW w:w="2878" w:type="pct"/>
          </w:tcPr>
          <w:p w14:paraId="383746AC"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eurai</w:t>
            </w:r>
          </w:p>
        </w:tc>
      </w:tr>
      <w:tr w:rsidR="00C909BC" w:rsidRPr="00C909BC" w14:paraId="5E1BE397" w14:textId="77777777" w:rsidTr="00B81FAD">
        <w:tc>
          <w:tcPr>
            <w:tcW w:w="2122" w:type="pct"/>
          </w:tcPr>
          <w:p w14:paraId="5E296C84"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Kontaktiniai duomenys</w:t>
            </w:r>
          </w:p>
        </w:tc>
        <w:tc>
          <w:tcPr>
            <w:tcW w:w="2878" w:type="pct"/>
          </w:tcPr>
          <w:p w14:paraId="7634E488"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valstybės įmonė „Indėlių ir investicijų draudimas“</w:t>
            </w:r>
          </w:p>
          <w:p w14:paraId="66303AC7"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Algirdo g. 31, LT-03219 Vilnius</w:t>
            </w:r>
          </w:p>
          <w:p w14:paraId="634BCA6B"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telefonas (8 5) 213 5657</w:t>
            </w:r>
          </w:p>
          <w:p w14:paraId="6DA15AD0"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faksas (8 5) 213 5546</w:t>
            </w:r>
          </w:p>
          <w:p w14:paraId="6225C5A3"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 xml:space="preserve">el. paštas </w:t>
            </w:r>
            <w:hyperlink r:id="rId7" w:history="1">
              <w:r w:rsidRPr="00C909BC">
                <w:rPr>
                  <w:rFonts w:ascii="Arial" w:eastAsia="Times New Roman" w:hAnsi="Arial" w:cs="Arial"/>
                  <w:color w:val="0563C1" w:themeColor="hyperlink"/>
                  <w:sz w:val="20"/>
                  <w:szCs w:val="20"/>
                  <w:u w:val="single"/>
                </w:rPr>
                <w:t>idf@idf.lt</w:t>
              </w:r>
            </w:hyperlink>
          </w:p>
        </w:tc>
      </w:tr>
      <w:tr w:rsidR="00C909BC" w:rsidRPr="00C909BC" w14:paraId="24F5A32D" w14:textId="77777777" w:rsidTr="00B81FAD">
        <w:tc>
          <w:tcPr>
            <w:tcW w:w="2122" w:type="pct"/>
          </w:tcPr>
          <w:p w14:paraId="6EF70ED7"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Daugiau informacijos</w:t>
            </w:r>
          </w:p>
        </w:tc>
        <w:tc>
          <w:tcPr>
            <w:tcW w:w="2878" w:type="pct"/>
          </w:tcPr>
          <w:p w14:paraId="17013908" w14:textId="77777777" w:rsidR="00C909BC" w:rsidRPr="00C909BC" w:rsidRDefault="00415707" w:rsidP="00C909BC">
            <w:pPr>
              <w:autoSpaceDE w:val="0"/>
              <w:autoSpaceDN w:val="0"/>
              <w:spacing w:after="0" w:line="240" w:lineRule="auto"/>
              <w:ind w:right="-1"/>
              <w:jc w:val="both"/>
              <w:rPr>
                <w:rFonts w:ascii="Arial" w:eastAsia="BatangChe" w:hAnsi="Arial" w:cs="Arial"/>
                <w:sz w:val="20"/>
                <w:szCs w:val="20"/>
              </w:rPr>
            </w:pPr>
            <w:hyperlink r:id="rId8" w:history="1">
              <w:r w:rsidR="00C909BC" w:rsidRPr="00C909BC">
                <w:rPr>
                  <w:rFonts w:ascii="Arial" w:eastAsia="BatangChe" w:hAnsi="Arial" w:cs="Arial"/>
                  <w:color w:val="0563C1" w:themeColor="hyperlink"/>
                  <w:sz w:val="20"/>
                  <w:szCs w:val="20"/>
                  <w:u w:val="single"/>
                </w:rPr>
                <w:t>www.iidraudimas.lt</w:t>
              </w:r>
            </w:hyperlink>
            <w:r w:rsidR="00C909BC" w:rsidRPr="00C909BC">
              <w:rPr>
                <w:rFonts w:ascii="Arial" w:eastAsia="BatangChe" w:hAnsi="Arial" w:cs="Arial"/>
                <w:sz w:val="20"/>
                <w:szCs w:val="20"/>
              </w:rPr>
              <w:t xml:space="preserve"> </w:t>
            </w:r>
          </w:p>
        </w:tc>
      </w:tr>
      <w:tr w:rsidR="00C909BC" w:rsidRPr="00C909BC" w14:paraId="712469AD" w14:textId="77777777" w:rsidTr="00B81FAD">
        <w:tc>
          <w:tcPr>
            <w:tcW w:w="2122" w:type="pct"/>
          </w:tcPr>
          <w:p w14:paraId="7E81C2D2"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lang w:eastAsia="lt-LT"/>
              </w:rPr>
              <w:t>Indėlininko patvirtinimas, kad gavo informaciją</w:t>
            </w:r>
          </w:p>
        </w:tc>
        <w:tc>
          <w:tcPr>
            <w:tcW w:w="2878" w:type="pct"/>
          </w:tcPr>
          <w:p w14:paraId="531BEB73" w14:textId="77777777" w:rsidR="00C909BC" w:rsidRPr="00C909BC" w:rsidRDefault="00C909BC" w:rsidP="00C909BC">
            <w:pPr>
              <w:autoSpaceDE w:val="0"/>
              <w:autoSpaceDN w:val="0"/>
              <w:spacing w:after="0" w:line="240" w:lineRule="auto"/>
              <w:ind w:right="-1"/>
              <w:jc w:val="both"/>
              <w:rPr>
                <w:rFonts w:ascii="Arial" w:eastAsia="BatangChe" w:hAnsi="Arial" w:cs="Arial"/>
                <w:sz w:val="20"/>
                <w:szCs w:val="20"/>
              </w:rPr>
            </w:pPr>
          </w:p>
        </w:tc>
      </w:tr>
    </w:tbl>
    <w:p w14:paraId="1CF6F5F4" w14:textId="77777777" w:rsidR="00C909BC" w:rsidRPr="00C909BC" w:rsidRDefault="00C909BC" w:rsidP="00C909BC">
      <w:pPr>
        <w:autoSpaceDE w:val="0"/>
        <w:autoSpaceDN w:val="0"/>
        <w:spacing w:after="0" w:line="240" w:lineRule="auto"/>
        <w:jc w:val="both"/>
        <w:rPr>
          <w:rFonts w:ascii="Arial" w:eastAsia="Times New Roman" w:hAnsi="Arial" w:cs="Arial"/>
          <w:b/>
          <w:sz w:val="20"/>
          <w:szCs w:val="20"/>
        </w:rPr>
      </w:pPr>
    </w:p>
    <w:p w14:paraId="49465EE4"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Pastabos:</w:t>
      </w:r>
    </w:p>
    <w:p w14:paraId="2BB33515"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1 </w:t>
      </w:r>
      <w:r w:rsidRPr="00C909BC">
        <w:rPr>
          <w:rFonts w:ascii="Arial" w:eastAsia="Times New Roman" w:hAnsi="Arial" w:cs="Arial"/>
          <w:sz w:val="20"/>
          <w:szCs w:val="20"/>
        </w:rPr>
        <w:t xml:space="preserve">Jeigu indėlis negrąžinamas dėl to, kad kredito įstaiga nepajėgi įvykdyti savo finansinių įsipareigojimų, indėlininkams valstybės įmonė „Indėlių ir investicijų draudimas“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 </w:t>
      </w:r>
    </w:p>
    <w:p w14:paraId="150841D2"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 xml:space="preserve">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 </w:t>
      </w:r>
    </w:p>
    <w:p w14:paraId="78D1CAEF"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Arial Unicode MS" w:hAnsi="Arial" w:cs="Arial"/>
          <w:sz w:val="20"/>
          <w:szCs w:val="20"/>
        </w:rPr>
        <w:t xml:space="preserve">Daugiau informacijos galima rasti interneto svetainėje adresu: </w:t>
      </w:r>
      <w:hyperlink r:id="rId9"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23633520"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2 </w:t>
      </w:r>
      <w:r w:rsidRPr="00C909BC">
        <w:rPr>
          <w:rFonts w:ascii="Arial" w:eastAsia="Times New Roman" w:hAnsi="Arial" w:cs="Arial"/>
          <w:sz w:val="20"/>
          <w:szCs w:val="20"/>
        </w:rPr>
        <w:t>Jeigu turite bendrą sąskaitą su kitu (kitais) asmeniu (asmenimis), 100 000 eurų apsaugos riba atskirai taikoma kiekvienam indėlio bendraturčiui.</w:t>
      </w:r>
    </w:p>
    <w:p w14:paraId="2FF9E1AB"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3 </w:t>
      </w:r>
      <w:r w:rsidRPr="00C909BC">
        <w:rPr>
          <w:rFonts w:ascii="Arial" w:eastAsia="Times New Roman" w:hAnsi="Arial" w:cs="Arial"/>
          <w:sz w:val="20"/>
          <w:szCs w:val="20"/>
        </w:rPr>
        <w:t>Draudimo išmokų išmokėjimas.</w:t>
      </w:r>
    </w:p>
    <w:p w14:paraId="20533D2E"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Atsakinga už indėlių draudimo sistemą yra v</w:t>
      </w:r>
      <w:r w:rsidRPr="00C909BC">
        <w:rPr>
          <w:rFonts w:ascii="Arial" w:eastAsia="BatangChe" w:hAnsi="Arial" w:cs="Arial"/>
          <w:sz w:val="20"/>
          <w:szCs w:val="20"/>
        </w:rPr>
        <w:t xml:space="preserve">alstybės įmonė „Indėlių ir investicijų draudimas“ </w:t>
      </w:r>
      <w:r w:rsidRPr="00C909BC">
        <w:rPr>
          <w:rFonts w:ascii="Arial" w:eastAsia="Times New Roman" w:hAnsi="Arial" w:cs="Arial"/>
          <w:sz w:val="20"/>
          <w:szCs w:val="20"/>
        </w:rPr>
        <w:t>(Algirdo g. 31, LT-03219 Vilnius, tel. (8 5) 213 5657, faks. (8 5) 213 5546, el. paštas: idf@idf.lt</w:t>
      </w:r>
      <w:r w:rsidRPr="00C909BC">
        <w:rPr>
          <w:rFonts w:ascii="Arial" w:eastAsia="BatangChe" w:hAnsi="Arial" w:cs="Arial"/>
          <w:sz w:val="20"/>
          <w:szCs w:val="20"/>
        </w:rPr>
        <w:t>,</w:t>
      </w:r>
      <w:r w:rsidRPr="00C909BC">
        <w:rPr>
          <w:rFonts w:ascii="Arial" w:eastAsia="BatangChe" w:hAnsi="Arial" w:cs="Arial"/>
          <w:i/>
          <w:sz w:val="20"/>
          <w:szCs w:val="20"/>
        </w:rPr>
        <w:t xml:space="preserve"> </w:t>
      </w:r>
      <w:r w:rsidRPr="00C909BC">
        <w:rPr>
          <w:rFonts w:ascii="Arial" w:eastAsia="BatangChe" w:hAnsi="Arial" w:cs="Arial"/>
          <w:sz w:val="20"/>
          <w:szCs w:val="20"/>
        </w:rPr>
        <w:t xml:space="preserve">interneto svetainė: </w:t>
      </w:r>
      <w:hyperlink r:id="rId10"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r w:rsidRPr="00C909BC">
        <w:rPr>
          <w:rFonts w:ascii="Arial" w:eastAsia="Times New Roman" w:hAnsi="Arial" w:cs="Arial"/>
          <w:sz w:val="20"/>
          <w:szCs w:val="20"/>
        </w:rPr>
        <w:t>Ji grąžins jūsų indėlius (iki 100 000 eurų) ne vėliau kaip per:</w:t>
      </w:r>
    </w:p>
    <w:p w14:paraId="613D7F3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10 darbo dienų nuo 2021 m. sausio 1 d. iki 2023 m. gruodžio 31 d.;</w:t>
      </w:r>
    </w:p>
    <w:p w14:paraId="0F46FB2A"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7 darbo dienas nuo 2024 m. sausio 1 d.</w:t>
      </w:r>
    </w:p>
    <w:p w14:paraId="311E2FF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xml:space="preserve">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 </w:t>
      </w:r>
    </w:p>
    <w:p w14:paraId="6E239316"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sz w:val="20"/>
          <w:szCs w:val="20"/>
        </w:rPr>
        <w:t>Jeigu per šiuos terminus draudimo išmoka jums nebuvo išmokėta, turėtumėte susisiekti su v</w:t>
      </w:r>
      <w:r w:rsidRPr="00C909BC">
        <w:rPr>
          <w:rFonts w:ascii="Arial" w:eastAsia="BatangChe" w:hAnsi="Arial" w:cs="Arial"/>
          <w:sz w:val="20"/>
          <w:szCs w:val="20"/>
        </w:rPr>
        <w:t>alstybės įmone „Indėlių ir investicijų draudimas“</w:t>
      </w:r>
      <w:r w:rsidRPr="00C909BC">
        <w:rPr>
          <w:rFonts w:ascii="Arial" w:eastAsia="Times New Roman" w:hAnsi="Arial" w:cs="Arial"/>
          <w:sz w:val="20"/>
          <w:szCs w:val="20"/>
        </w:rPr>
        <w:t xml:space="preserve">. Daugiau informacijos galima rasti </w:t>
      </w:r>
      <w:r w:rsidRPr="00C909BC">
        <w:rPr>
          <w:rFonts w:ascii="Arial" w:eastAsia="Arial Unicode MS" w:hAnsi="Arial" w:cs="Arial"/>
          <w:sz w:val="20"/>
          <w:szCs w:val="20"/>
        </w:rPr>
        <w:t>interneto svetainėje adresu:</w:t>
      </w:r>
      <w:r w:rsidRPr="00C909BC">
        <w:rPr>
          <w:rFonts w:ascii="Arial" w:eastAsia="Times New Roman" w:hAnsi="Arial" w:cs="Arial"/>
          <w:sz w:val="20"/>
          <w:szCs w:val="20"/>
        </w:rPr>
        <w:t xml:space="preserve"> </w:t>
      </w:r>
      <w:hyperlink r:id="rId11"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65CEAA3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p>
    <w:p w14:paraId="4464666E"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Kita svarbi informacija.</w:t>
      </w:r>
    </w:p>
    <w:p w14:paraId="5ABA661F"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Iš principo visi mažmeninių indėlininkų ir įmonių indėliai yra apdrausti valstybės įmonėje „Indėlių ir investicijų draudimas“.</w:t>
      </w:r>
    </w:p>
    <w:p w14:paraId="3BEC9D2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Tam tikriems indėliams taikomos išimtys nurodytos v</w:t>
      </w:r>
      <w:r w:rsidRPr="00C909BC">
        <w:rPr>
          <w:rFonts w:ascii="Arial" w:eastAsia="BatangChe" w:hAnsi="Arial" w:cs="Arial"/>
          <w:sz w:val="20"/>
          <w:szCs w:val="20"/>
        </w:rPr>
        <w:t xml:space="preserve">alstybės įmonės „Indėlių ir investicijų draudimas“ </w:t>
      </w:r>
      <w:r w:rsidRPr="00C909BC">
        <w:rPr>
          <w:rFonts w:ascii="Arial" w:eastAsia="Times New Roman" w:hAnsi="Arial" w:cs="Arial"/>
          <w:sz w:val="20"/>
          <w:szCs w:val="20"/>
        </w:rPr>
        <w:t xml:space="preserve">interneto svetainėje </w:t>
      </w:r>
      <w:hyperlink r:id="rId12" w:history="1">
        <w:r w:rsidRPr="00C909BC">
          <w:rPr>
            <w:rFonts w:ascii="Arial" w:eastAsia="BatangChe" w:hAnsi="Arial" w:cs="Arial"/>
            <w:color w:val="0563C1" w:themeColor="hyperlink"/>
            <w:sz w:val="20"/>
            <w:szCs w:val="20"/>
            <w:u w:val="single"/>
          </w:rPr>
          <w:t>www.iidraudimas.lt</w:t>
        </w:r>
      </w:hyperlink>
      <w:r w:rsidRPr="00C909BC">
        <w:rPr>
          <w:rFonts w:ascii="Arial" w:eastAsia="Times New Roman" w:hAnsi="Arial" w:cs="Arial"/>
          <w:sz w:val="20"/>
          <w:szCs w:val="20"/>
        </w:rPr>
        <w:t xml:space="preserve">. Jūsų paprašyta kredito įstaiga taip pat informuos jus, ar tam tikri produktai yra apdrausti. Jeigu indėliai apdrausti, kredito įstaiga tai patvirtina ir sąskaitos išraše. </w:t>
      </w:r>
    </w:p>
    <w:p w14:paraId="7F551470" w14:textId="77777777" w:rsidR="00C909BC" w:rsidRDefault="00C909BC" w:rsidP="00C909BC">
      <w:pPr>
        <w:jc w:val="both"/>
        <w:rPr>
          <w:rFonts w:ascii="Arial" w:hAnsi="Arial" w:cs="Arial"/>
          <w:sz w:val="20"/>
          <w:szCs w:val="20"/>
          <w:lang w:val="et-EE"/>
        </w:rPr>
      </w:pPr>
    </w:p>
    <w:p w14:paraId="7DFE0CE3" w14:textId="77777777" w:rsidR="00190F23" w:rsidRDefault="00190F23" w:rsidP="00C909BC">
      <w:pPr>
        <w:jc w:val="both"/>
        <w:rPr>
          <w:rFonts w:ascii="Arial" w:hAnsi="Arial" w:cs="Arial"/>
          <w:sz w:val="20"/>
          <w:szCs w:val="20"/>
          <w:lang w:val="et-EE"/>
        </w:rPr>
      </w:pPr>
    </w:p>
    <w:p w14:paraId="16415894" w14:textId="77777777" w:rsidR="00190F23" w:rsidRPr="00C909BC" w:rsidRDefault="00190F23" w:rsidP="00C909BC">
      <w:pPr>
        <w:jc w:val="both"/>
        <w:rPr>
          <w:rFonts w:ascii="Arial" w:hAnsi="Arial" w:cs="Arial"/>
          <w:sz w:val="20"/>
          <w:szCs w:val="20"/>
          <w:lang w:val="et-EE"/>
        </w:rPr>
      </w:pPr>
    </w:p>
    <w:p w14:paraId="63EFDFD5" w14:textId="77777777" w:rsidR="00AC7C80" w:rsidRPr="00AC7C80" w:rsidRDefault="00AC7C80" w:rsidP="00AC7C80">
      <w:pPr>
        <w:jc w:val="center"/>
        <w:rPr>
          <w:rFonts w:ascii="Arial" w:hAnsi="Arial" w:cs="Arial"/>
          <w:b/>
          <w:sz w:val="20"/>
          <w:szCs w:val="20"/>
          <w:lang w:val="et-EE"/>
        </w:rPr>
      </w:pPr>
      <w:r w:rsidRPr="00AC7C80">
        <w:rPr>
          <w:rFonts w:ascii="Arial" w:hAnsi="Arial" w:cs="Arial"/>
          <w:b/>
          <w:sz w:val="20"/>
          <w:szCs w:val="20"/>
          <w:lang w:val="et-EE"/>
        </w:rPr>
        <w:t>Atvejai, kai indėliai nėra draudžiami ir kai yra taikomi indėlių draudimo išmokų mokėjimo apribojimai</w:t>
      </w:r>
    </w:p>
    <w:p w14:paraId="046AE5D2" w14:textId="77777777" w:rsidR="00AC7C80" w:rsidRPr="00AC7C80" w:rsidRDefault="00AC7C80" w:rsidP="00EB03B9">
      <w:pPr>
        <w:spacing w:after="0" w:line="240" w:lineRule="auto"/>
        <w:rPr>
          <w:rFonts w:ascii="Arial" w:hAnsi="Arial" w:cs="Arial"/>
          <w:b/>
          <w:sz w:val="20"/>
          <w:szCs w:val="20"/>
          <w:lang w:val="et-EE"/>
        </w:rPr>
      </w:pPr>
    </w:p>
    <w:p w14:paraId="13FF4AEF" w14:textId="77777777" w:rsidR="00AC7C80" w:rsidRPr="00AC7C80" w:rsidRDefault="00AC7C80" w:rsidP="00042A76">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objektas nėra:</w:t>
      </w:r>
    </w:p>
    <w:p w14:paraId="43EA7BA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kitų kredito įstaigų indėliai, laikomi savo sąskaita ir savo vardu;</w:t>
      </w:r>
    </w:p>
    <w:p w14:paraId="1596A4CA"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2) kredito įstaigos nuosavos lėšos;</w:t>
      </w:r>
    </w:p>
    <w:p w14:paraId="4F3C9B2B"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3) indėliai, dėl kurių priimtas apkaltinamasis nuosprendis baudžiamojoje byloje dėl pinigų plovimo;</w:t>
      </w:r>
    </w:p>
    <w:p w14:paraId="6319ACE4"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4) finansų įstaigų indėliai; </w:t>
      </w:r>
    </w:p>
    <w:p w14:paraId="6B0A92B9"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bCs/>
          <w:sz w:val="20"/>
          <w:szCs w:val="20"/>
          <w:lang w:val="et-EE"/>
        </w:rPr>
        <w:t>5) valdymo įmonių indėliai</w:t>
      </w:r>
      <w:r w:rsidRPr="00AC7C80">
        <w:rPr>
          <w:rFonts w:ascii="Arial" w:hAnsi="Arial" w:cs="Arial"/>
          <w:sz w:val="20"/>
          <w:szCs w:val="20"/>
          <w:lang w:val="et-EE"/>
        </w:rPr>
        <w:t>;</w:t>
      </w:r>
    </w:p>
    <w:p w14:paraId="0FABB2A1"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6) f</w:t>
      </w:r>
      <w:r w:rsidRPr="00AC7C80">
        <w:rPr>
          <w:rFonts w:ascii="Arial" w:hAnsi="Arial" w:cs="Arial"/>
          <w:bCs/>
          <w:sz w:val="20"/>
          <w:szCs w:val="20"/>
          <w:lang w:val="et-EE"/>
        </w:rPr>
        <w:t>inansų maklerio įmonių indėliai;</w:t>
      </w:r>
    </w:p>
    <w:p w14:paraId="48F081DC"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7) indėliai, kurių savininkų tapatybė nenustatyta (anoniminėse ir koduotose sąskaitose laikomi indėliai);</w:t>
      </w:r>
    </w:p>
    <w:p w14:paraId="4DB2B7AD"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8) </w:t>
      </w:r>
      <w:r w:rsidRPr="00190F23">
        <w:rPr>
          <w:rFonts w:ascii="Arial" w:hAnsi="Arial" w:cs="Arial"/>
          <w:sz w:val="20"/>
          <w:szCs w:val="20"/>
          <w:lang w:val="et-EE"/>
        </w:rPr>
        <w:t>draudimo įmonių ir perdraudimo įmonių, kitose valstybėse narėse ir trečiosiose valstybėse įsteigtų draudimo įmonių ir perdraudimo įmonių indėliai;</w:t>
      </w:r>
    </w:p>
    <w:p w14:paraId="5C3D511F"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9) kolektyvinio investavimo subjektų indėliai;</w:t>
      </w:r>
    </w:p>
    <w:p w14:paraId="375DF3F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10) pensijų fondų indėliai;</w:t>
      </w:r>
    </w:p>
    <w:p w14:paraId="2A65458A"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11) valstybės ir savivaldybių institucijų ir įstaigų, kaip jos apibrėžtos Lietuvos Respublikos valstybės tarnybos įstatyme, indėliai, išskyrus tokių institucijų ir įstaigų depozitinėse sąskaitose laikomas kitiems asmenims priklausančias lėšas; </w:t>
      </w:r>
    </w:p>
    <w:p w14:paraId="0A298DD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12) Lietuvos banko indėliai;</w:t>
      </w:r>
    </w:p>
    <w:p w14:paraId="77320D65"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13) paties indėlių draudimo sistemos dalyvio išleisti skolos vertybiniai popieriai ir įsipareigojimai, susiję su jo akceptais ir paprastaisiais vekseliais;</w:t>
      </w:r>
    </w:p>
    <w:p w14:paraId="5638DBAB"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14) elektroniniai pinigai ir  iš elektroninių pinigų turėtojų mainams į elektroninius pinigus gautos lėšos.</w:t>
      </w:r>
    </w:p>
    <w:p w14:paraId="5E501240"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t-EE"/>
        </w:rPr>
        <w:t>Auk</w:t>
      </w:r>
      <w:r w:rsidRPr="00190F23">
        <w:rPr>
          <w:rFonts w:ascii="Arial" w:hAnsi="Arial" w:cs="Arial"/>
          <w:sz w:val="20"/>
          <w:szCs w:val="20"/>
        </w:rPr>
        <w:t>ščiau nurodytų subjektų indėliai nėra indėlių draudimo objektas, neatsižvelgiant į tai, pagal kurios valstybės teisės aktus šie subjektai yra įsteigti.</w:t>
      </w:r>
    </w:p>
    <w:p w14:paraId="40D90701" w14:textId="77777777" w:rsidR="00AC7C80" w:rsidRPr="00AC7C80" w:rsidRDefault="00AC7C80" w:rsidP="00EB03B9">
      <w:pPr>
        <w:spacing w:after="0" w:line="240" w:lineRule="auto"/>
        <w:rPr>
          <w:rFonts w:ascii="Arial" w:hAnsi="Arial" w:cs="Arial"/>
          <w:sz w:val="20"/>
          <w:szCs w:val="20"/>
          <w:lang w:val="et-EE"/>
        </w:rPr>
      </w:pPr>
    </w:p>
    <w:p w14:paraId="60EE7E76" w14:textId="77777777" w:rsidR="00AC7C80" w:rsidRPr="00AC7C80" w:rsidRDefault="00AC7C80" w:rsidP="00EB03B9">
      <w:pPr>
        <w:spacing w:after="0" w:line="240" w:lineRule="auto"/>
        <w:jc w:val="center"/>
        <w:rPr>
          <w:rFonts w:ascii="Arial" w:hAnsi="Arial" w:cs="Arial"/>
          <w:b/>
          <w:bCs/>
          <w:sz w:val="20"/>
          <w:szCs w:val="20"/>
          <w:u w:val="single"/>
          <w:lang w:val="et-EE"/>
        </w:rPr>
      </w:pPr>
      <w:r w:rsidRPr="00AC7C80">
        <w:rPr>
          <w:rFonts w:ascii="Arial" w:hAnsi="Arial" w:cs="Arial"/>
          <w:b/>
          <w:sz w:val="20"/>
          <w:szCs w:val="20"/>
          <w:u w:val="single"/>
          <w:lang w:val="et-EE"/>
        </w:rPr>
        <w:t xml:space="preserve">Indėlių </w:t>
      </w:r>
      <w:r w:rsidRPr="00AC7C80">
        <w:rPr>
          <w:rFonts w:ascii="Arial" w:hAnsi="Arial" w:cs="Arial"/>
          <w:b/>
          <w:bCs/>
          <w:sz w:val="20"/>
          <w:szCs w:val="20"/>
          <w:u w:val="single"/>
          <w:lang w:val="et-EE"/>
        </w:rPr>
        <w:t>draudimo išmokų mokėjimo apribojimai:</w:t>
      </w:r>
    </w:p>
    <w:p w14:paraId="3876718C"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Indėlių draudimo išmokos nemokamos:</w:t>
      </w:r>
    </w:p>
    <w:p w14:paraId="32EEEB4A"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už indėlius, lėšas, pinigus, vertybinius popierius ir įsipareigojimus, kurie nėra indėlių draudimo objektas (kaip nurodyta aukščiau šioje formoje);</w:t>
      </w:r>
    </w:p>
    <w:p w14:paraId="12C55126"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2) indėlininkams už indėlius sąskaitoje, kurioje per pastaruosius 24 mėnesius iki indėlių draudžiamojo įvykio dienos nėra atlikta jokių su indėliu susijusių operacijų ir laikomo indėlio suma yra mažesnė kaip 10 eurų.</w:t>
      </w:r>
    </w:p>
    <w:p w14:paraId="36C6DB6C"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n-US"/>
        </w:rPr>
        <w:t>3</w:t>
      </w:r>
      <w:r w:rsidRPr="00190F23">
        <w:rPr>
          <w:rFonts w:ascii="Arial" w:hAnsi="Arial" w:cs="Arial"/>
          <w:sz w:val="20"/>
          <w:szCs w:val="20"/>
        </w:rPr>
        <w:t xml:space="preserve">) </w:t>
      </w:r>
      <w:r w:rsidR="00190F23">
        <w:rPr>
          <w:rFonts w:ascii="Arial" w:hAnsi="Arial" w:cs="Arial"/>
          <w:sz w:val="20"/>
          <w:szCs w:val="20"/>
        </w:rPr>
        <w:t>i</w:t>
      </w:r>
      <w:r w:rsidR="00190F23" w:rsidRPr="00190F23">
        <w:rPr>
          <w:rFonts w:ascii="Arial" w:hAnsi="Arial" w:cs="Arial"/>
          <w:sz w:val="20"/>
          <w:szCs w:val="20"/>
        </w:rPr>
        <w:t>ndėlininkams</w:t>
      </w:r>
      <w:r w:rsidRPr="00190F23">
        <w:rPr>
          <w:rFonts w:ascii="Arial" w:hAnsi="Arial" w:cs="Arial"/>
          <w:sz w:val="20"/>
          <w:szCs w:val="20"/>
        </w:rPr>
        <w:t xml:space="preserve"> ar kitiems asmenims, kurie turi reikalavimo teisę į indėlių draudimo išmoką ir kuriems dėl jų laikomų kaip indėlių pinigų įsigijimo teisėtumo priimtas apkaltinamasis nuosprendis baudžiamojoje byloje dėl pinigų plovimo ir (ar) teroristų finansavimo.</w:t>
      </w:r>
    </w:p>
    <w:p w14:paraId="05DC960E" w14:textId="77777777" w:rsidR="00AC7C80" w:rsidRPr="00AC7C80" w:rsidRDefault="00AC7C80" w:rsidP="00EB03B9">
      <w:pPr>
        <w:spacing w:after="0" w:line="240" w:lineRule="auto"/>
        <w:rPr>
          <w:rFonts w:ascii="Arial" w:hAnsi="Arial" w:cs="Arial"/>
          <w:bCs/>
          <w:sz w:val="20"/>
          <w:szCs w:val="20"/>
          <w:lang w:val="et-EE"/>
        </w:rPr>
      </w:pPr>
    </w:p>
    <w:p w14:paraId="7A754610" w14:textId="77777777" w:rsidR="00AC7C80" w:rsidRPr="00AC7C80" w:rsidRDefault="00AC7C80" w:rsidP="00EB03B9">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išmokos išmokėjimo termino atidėjimas:</w:t>
      </w:r>
    </w:p>
    <w:p w14:paraId="000DCFC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Lietuvos Respublikos indėlių ir įsipareigojimų investuotojams įstatyme numatytais atvejais (plačiau žr. </w:t>
      </w:r>
      <w:hyperlink r:id="rId13" w:history="1">
        <w:r w:rsidRPr="00AC7C80">
          <w:rPr>
            <w:rStyle w:val="Hyperlink"/>
            <w:rFonts w:ascii="Arial" w:hAnsi="Arial" w:cs="Arial"/>
            <w:sz w:val="20"/>
            <w:szCs w:val="20"/>
            <w:lang w:val="et-EE"/>
          </w:rPr>
          <w:t>www.iidraudimas.lt</w:t>
        </w:r>
      </w:hyperlink>
      <w:r w:rsidRPr="00AC7C80">
        <w:rPr>
          <w:rFonts w:ascii="Arial" w:hAnsi="Arial" w:cs="Arial"/>
          <w:sz w:val="20"/>
          <w:szCs w:val="20"/>
          <w:lang w:val="et-EE"/>
        </w:rPr>
        <w:t xml:space="preserve">) indėlių draudimo išmokos išmokėjimas gali būti atidedamas, pavyzdžiui, jeigu trūksta duomenų, kuriais pagrindžiama teisė į indėlių draudimo išmoką, arba dėl indėlio vyksta teisminis ginčas, arba indėlininkui apribota teisė disponuoti indėliu. </w:t>
      </w:r>
    </w:p>
    <w:p w14:paraId="2CE796A6" w14:textId="77777777" w:rsidR="00AC7C80" w:rsidRPr="00AC7C80" w:rsidRDefault="00AC7C80" w:rsidP="00EB03B9">
      <w:pPr>
        <w:spacing w:after="0" w:line="240" w:lineRule="auto"/>
        <w:rPr>
          <w:rFonts w:ascii="Arial" w:hAnsi="Arial" w:cs="Arial"/>
          <w:sz w:val="20"/>
          <w:szCs w:val="20"/>
          <w:lang w:val="et-EE"/>
        </w:rPr>
      </w:pPr>
    </w:p>
    <w:p w14:paraId="4B8B23FD" w14:textId="77777777" w:rsidR="00F06054" w:rsidRPr="00AC7C80" w:rsidRDefault="00AC7C80" w:rsidP="00EB03B9">
      <w:pPr>
        <w:spacing w:after="0" w:line="240" w:lineRule="auto"/>
        <w:jc w:val="center"/>
        <w:rPr>
          <w:rFonts w:ascii="Arial" w:hAnsi="Arial" w:cs="Arial"/>
          <w:sz w:val="20"/>
          <w:szCs w:val="20"/>
        </w:rPr>
      </w:pPr>
      <w:r w:rsidRPr="00AC7C80">
        <w:rPr>
          <w:rFonts w:ascii="Arial" w:hAnsi="Arial" w:cs="Arial"/>
          <w:sz w:val="20"/>
          <w:szCs w:val="20"/>
          <w:lang w:val="et-EE"/>
        </w:rPr>
        <w:t>____________________________</w:t>
      </w:r>
    </w:p>
    <w:sectPr w:rsidR="00F06054" w:rsidRPr="00AC7C80" w:rsidSect="00697183">
      <w:pgSz w:w="11906" w:h="16838" w:code="9"/>
      <w:pgMar w:top="567" w:right="1134" w:bottom="1134"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7A92" w14:textId="77777777" w:rsidR="00415707" w:rsidRDefault="00415707" w:rsidP="00D204A2">
      <w:pPr>
        <w:spacing w:after="0" w:line="240" w:lineRule="auto"/>
      </w:pPr>
      <w:r>
        <w:separator/>
      </w:r>
    </w:p>
  </w:endnote>
  <w:endnote w:type="continuationSeparator" w:id="0">
    <w:p w14:paraId="51A78D5B" w14:textId="77777777" w:rsidR="00415707" w:rsidRDefault="00415707" w:rsidP="00D2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5A5A" w14:textId="77777777" w:rsidR="00415707" w:rsidRDefault="00415707" w:rsidP="00D204A2">
      <w:pPr>
        <w:spacing w:after="0" w:line="240" w:lineRule="auto"/>
      </w:pPr>
      <w:r>
        <w:separator/>
      </w:r>
    </w:p>
  </w:footnote>
  <w:footnote w:type="continuationSeparator" w:id="0">
    <w:p w14:paraId="2E36522B" w14:textId="77777777" w:rsidR="00415707" w:rsidRDefault="00415707" w:rsidP="00D20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80"/>
    <w:rsid w:val="00042A76"/>
    <w:rsid w:val="00190F23"/>
    <w:rsid w:val="00415707"/>
    <w:rsid w:val="004D1354"/>
    <w:rsid w:val="00697183"/>
    <w:rsid w:val="008E6788"/>
    <w:rsid w:val="00AC7C80"/>
    <w:rsid w:val="00B86754"/>
    <w:rsid w:val="00C909BC"/>
    <w:rsid w:val="00CA2CC4"/>
    <w:rsid w:val="00CE3B4E"/>
    <w:rsid w:val="00D204A2"/>
    <w:rsid w:val="00D34BC6"/>
    <w:rsid w:val="00DE2744"/>
    <w:rsid w:val="00E65474"/>
    <w:rsid w:val="00EB03B9"/>
    <w:rsid w:val="00EB4C41"/>
    <w:rsid w:val="00EC52CF"/>
    <w:rsid w:val="00F0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70C"/>
  <w15:docId w15:val="{135A2639-DFE6-442C-86A2-98C5CEC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C80"/>
    <w:rPr>
      <w:color w:val="0563C1" w:themeColor="hyperlink"/>
      <w:u w:val="single"/>
    </w:rPr>
  </w:style>
  <w:style w:type="character" w:styleId="CommentReference">
    <w:name w:val="annotation reference"/>
    <w:basedOn w:val="DefaultParagraphFont"/>
    <w:uiPriority w:val="99"/>
    <w:semiHidden/>
    <w:unhideWhenUsed/>
    <w:rsid w:val="00EB03B9"/>
    <w:rPr>
      <w:sz w:val="16"/>
      <w:szCs w:val="16"/>
    </w:rPr>
  </w:style>
  <w:style w:type="paragraph" w:styleId="CommentText">
    <w:name w:val="annotation text"/>
    <w:basedOn w:val="Normal"/>
    <w:link w:val="CommentTextChar"/>
    <w:uiPriority w:val="99"/>
    <w:semiHidden/>
    <w:unhideWhenUsed/>
    <w:rsid w:val="00EB03B9"/>
    <w:pPr>
      <w:spacing w:line="240" w:lineRule="auto"/>
    </w:pPr>
    <w:rPr>
      <w:sz w:val="20"/>
      <w:szCs w:val="20"/>
    </w:rPr>
  </w:style>
  <w:style w:type="character" w:customStyle="1" w:styleId="CommentTextChar">
    <w:name w:val="Comment Text Char"/>
    <w:basedOn w:val="DefaultParagraphFont"/>
    <w:link w:val="CommentText"/>
    <w:uiPriority w:val="99"/>
    <w:semiHidden/>
    <w:rsid w:val="00EB03B9"/>
    <w:rPr>
      <w:sz w:val="20"/>
      <w:szCs w:val="20"/>
    </w:rPr>
  </w:style>
  <w:style w:type="paragraph" w:styleId="CommentSubject">
    <w:name w:val="annotation subject"/>
    <w:basedOn w:val="CommentText"/>
    <w:next w:val="CommentText"/>
    <w:link w:val="CommentSubjectChar"/>
    <w:uiPriority w:val="99"/>
    <w:semiHidden/>
    <w:unhideWhenUsed/>
    <w:rsid w:val="00EB03B9"/>
    <w:rPr>
      <w:b/>
      <w:bCs/>
    </w:rPr>
  </w:style>
  <w:style w:type="character" w:customStyle="1" w:styleId="CommentSubjectChar">
    <w:name w:val="Comment Subject Char"/>
    <w:basedOn w:val="CommentTextChar"/>
    <w:link w:val="CommentSubject"/>
    <w:uiPriority w:val="99"/>
    <w:semiHidden/>
    <w:rsid w:val="00EB03B9"/>
    <w:rPr>
      <w:b/>
      <w:bCs/>
      <w:sz w:val="20"/>
      <w:szCs w:val="20"/>
    </w:rPr>
  </w:style>
  <w:style w:type="paragraph" w:styleId="BalloonText">
    <w:name w:val="Balloon Text"/>
    <w:basedOn w:val="Normal"/>
    <w:link w:val="BalloonTextChar"/>
    <w:uiPriority w:val="99"/>
    <w:semiHidden/>
    <w:unhideWhenUsed/>
    <w:rsid w:val="00EB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9"/>
    <w:rPr>
      <w:rFonts w:ascii="Segoe UI" w:hAnsi="Segoe UI" w:cs="Segoe UI"/>
      <w:sz w:val="18"/>
      <w:szCs w:val="18"/>
    </w:rPr>
  </w:style>
  <w:style w:type="paragraph" w:styleId="Header">
    <w:name w:val="header"/>
    <w:basedOn w:val="Normal"/>
    <w:link w:val="HeaderChar"/>
    <w:uiPriority w:val="99"/>
    <w:unhideWhenUsed/>
    <w:rsid w:val="00D2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A2"/>
  </w:style>
  <w:style w:type="paragraph" w:styleId="Footer">
    <w:name w:val="footer"/>
    <w:basedOn w:val="Normal"/>
    <w:link w:val="FooterChar"/>
    <w:uiPriority w:val="99"/>
    <w:unhideWhenUsed/>
    <w:rsid w:val="00D2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A2"/>
  </w:style>
  <w:style w:type="paragraph" w:styleId="ListParagraph">
    <w:name w:val="List Paragraph"/>
    <w:basedOn w:val="Normal"/>
    <w:uiPriority w:val="34"/>
    <w:qFormat/>
    <w:rsid w:val="0019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517">
      <w:bodyDiv w:val="1"/>
      <w:marLeft w:val="0"/>
      <w:marRight w:val="0"/>
      <w:marTop w:val="0"/>
      <w:marBottom w:val="0"/>
      <w:divBdr>
        <w:top w:val="none" w:sz="0" w:space="0" w:color="auto"/>
        <w:left w:val="none" w:sz="0" w:space="0" w:color="auto"/>
        <w:bottom w:val="none" w:sz="0" w:space="0" w:color="auto"/>
        <w:right w:val="none" w:sz="0" w:space="0" w:color="auto"/>
      </w:divBdr>
      <w:divsChild>
        <w:div w:id="1263143376">
          <w:marLeft w:val="0"/>
          <w:marRight w:val="0"/>
          <w:marTop w:val="0"/>
          <w:marBottom w:val="0"/>
          <w:divBdr>
            <w:top w:val="none" w:sz="0" w:space="0" w:color="auto"/>
            <w:left w:val="none" w:sz="0" w:space="0" w:color="auto"/>
            <w:bottom w:val="none" w:sz="0" w:space="0" w:color="auto"/>
            <w:right w:val="none" w:sz="0" w:space="0" w:color="auto"/>
          </w:divBdr>
        </w:div>
      </w:divsChild>
    </w:div>
    <w:div w:id="516432114">
      <w:bodyDiv w:val="1"/>
      <w:marLeft w:val="0"/>
      <w:marRight w:val="0"/>
      <w:marTop w:val="0"/>
      <w:marBottom w:val="0"/>
      <w:divBdr>
        <w:top w:val="none" w:sz="0" w:space="0" w:color="auto"/>
        <w:left w:val="none" w:sz="0" w:space="0" w:color="auto"/>
        <w:bottom w:val="none" w:sz="0" w:space="0" w:color="auto"/>
        <w:right w:val="none" w:sz="0" w:space="0" w:color="auto"/>
      </w:divBdr>
      <w:divsChild>
        <w:div w:id="2118328710">
          <w:marLeft w:val="0"/>
          <w:marRight w:val="0"/>
          <w:marTop w:val="0"/>
          <w:marBottom w:val="0"/>
          <w:divBdr>
            <w:top w:val="none" w:sz="0" w:space="0" w:color="auto"/>
            <w:left w:val="none" w:sz="0" w:space="0" w:color="auto"/>
            <w:bottom w:val="none" w:sz="0" w:space="0" w:color="auto"/>
            <w:right w:val="none" w:sz="0" w:space="0" w:color="auto"/>
          </w:divBdr>
        </w:div>
      </w:divsChild>
    </w:div>
    <w:div w:id="1264386206">
      <w:bodyDiv w:val="1"/>
      <w:marLeft w:val="0"/>
      <w:marRight w:val="0"/>
      <w:marTop w:val="0"/>
      <w:marBottom w:val="0"/>
      <w:divBdr>
        <w:top w:val="none" w:sz="0" w:space="0" w:color="auto"/>
        <w:left w:val="none" w:sz="0" w:space="0" w:color="auto"/>
        <w:bottom w:val="none" w:sz="0" w:space="0" w:color="auto"/>
        <w:right w:val="none" w:sz="0" w:space="0" w:color="auto"/>
      </w:divBdr>
      <w:divsChild>
        <w:div w:id="280958409">
          <w:marLeft w:val="0"/>
          <w:marRight w:val="0"/>
          <w:marTop w:val="0"/>
          <w:marBottom w:val="0"/>
          <w:divBdr>
            <w:top w:val="none" w:sz="0" w:space="0" w:color="auto"/>
            <w:left w:val="none" w:sz="0" w:space="0" w:color="auto"/>
            <w:bottom w:val="none" w:sz="0" w:space="0" w:color="auto"/>
            <w:right w:val="none" w:sz="0" w:space="0" w:color="auto"/>
          </w:divBdr>
        </w:div>
      </w:divsChild>
    </w:div>
    <w:div w:id="1886409372">
      <w:bodyDiv w:val="1"/>
      <w:marLeft w:val="0"/>
      <w:marRight w:val="0"/>
      <w:marTop w:val="0"/>
      <w:marBottom w:val="0"/>
      <w:divBdr>
        <w:top w:val="none" w:sz="0" w:space="0" w:color="auto"/>
        <w:left w:val="none" w:sz="0" w:space="0" w:color="auto"/>
        <w:bottom w:val="none" w:sz="0" w:space="0" w:color="auto"/>
        <w:right w:val="none" w:sz="0" w:space="0" w:color="auto"/>
      </w:divBdr>
      <w:divsChild>
        <w:div w:id="205777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raudimas.lt" TargetMode="External"/><Relationship Id="rId13" Type="http://schemas.openxmlformats.org/officeDocument/2006/relationships/hyperlink" Target="http://www.iidraudimas.lt" TargetMode="External"/><Relationship Id="rId3" Type="http://schemas.openxmlformats.org/officeDocument/2006/relationships/settings" Target="settings.xml"/><Relationship Id="rId7" Type="http://schemas.openxmlformats.org/officeDocument/2006/relationships/hyperlink" Target="mailto:idf@idf.lt" TargetMode="External"/><Relationship Id="rId12" Type="http://schemas.openxmlformats.org/officeDocument/2006/relationships/hyperlink" Target="http://www.iidraudim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idraudima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draudimas.lt" TargetMode="External"/><Relationship Id="rId4" Type="http://schemas.openxmlformats.org/officeDocument/2006/relationships/webSettings" Target="webSettings.xml"/><Relationship Id="rId9" Type="http://schemas.openxmlformats.org/officeDocument/2006/relationships/hyperlink" Target="http://www.iidraudim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4480-7671-40D2-BF87-91FFEF76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4466</Words>
  <Characters>2546</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Bankauskienė</dc:creator>
  <cp:lastModifiedBy>Alytaus kredito unija</cp:lastModifiedBy>
  <cp:revision>3</cp:revision>
  <dcterms:created xsi:type="dcterms:W3CDTF">2021-12-13T10:59:00Z</dcterms:created>
  <dcterms:modified xsi:type="dcterms:W3CDTF">2022-02-24T11:22:00Z</dcterms:modified>
</cp:coreProperties>
</file>